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2120" w14:textId="77777777" w:rsidR="00401820" w:rsidRDefault="00401820" w:rsidP="00D5457F"/>
    <w:p w14:paraId="7FCED4FC" w14:textId="429274B0" w:rsidR="00E02014" w:rsidRDefault="00E02014" w:rsidP="00E020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Annual Report 202</w:t>
      </w:r>
      <w:r w:rsidR="002D49AD">
        <w:rPr>
          <w:b/>
          <w:bCs/>
          <w:sz w:val="32"/>
          <w:szCs w:val="32"/>
        </w:rPr>
        <w:t>5</w:t>
      </w:r>
    </w:p>
    <w:p w14:paraId="32CABCCC" w14:textId="77777777" w:rsidR="00E02014" w:rsidRDefault="00E02014" w:rsidP="00E02014">
      <w:pPr>
        <w:rPr>
          <w:b/>
          <w:bCs/>
          <w:sz w:val="32"/>
          <w:szCs w:val="32"/>
        </w:rPr>
      </w:pPr>
    </w:p>
    <w:p w14:paraId="6BFEBF7A" w14:textId="3586CBDD" w:rsidR="00E02014" w:rsidRPr="00783512" w:rsidRDefault="00E02014" w:rsidP="00926401">
      <w:pPr>
        <w:pStyle w:val="ListParagraph"/>
        <w:numPr>
          <w:ilvl w:val="0"/>
          <w:numId w:val="17"/>
        </w:numPr>
        <w:jc w:val="both"/>
        <w:rPr>
          <w:b/>
          <w:bCs/>
          <w:sz w:val="24"/>
          <w:szCs w:val="24"/>
        </w:rPr>
      </w:pPr>
      <w:r w:rsidRPr="008A71EE">
        <w:rPr>
          <w:b/>
          <w:bCs/>
          <w:sz w:val="24"/>
          <w:szCs w:val="24"/>
        </w:rPr>
        <w:t>Overview</w:t>
      </w:r>
      <w:r w:rsidR="00B53D62" w:rsidRPr="008A71EE">
        <w:rPr>
          <w:b/>
          <w:bCs/>
          <w:sz w:val="24"/>
          <w:szCs w:val="24"/>
        </w:rPr>
        <w:t xml:space="preserve"> </w:t>
      </w:r>
      <w:r w:rsidR="00B53D62" w:rsidRPr="008A71EE">
        <w:rPr>
          <w:sz w:val="24"/>
          <w:szCs w:val="24"/>
        </w:rPr>
        <w:t xml:space="preserve">2025 has been a good year for our Holiday Home. </w:t>
      </w:r>
      <w:r w:rsidR="008A71EE">
        <w:rPr>
          <w:sz w:val="24"/>
          <w:szCs w:val="24"/>
        </w:rPr>
        <w:t xml:space="preserve">We provided holidays for 29 families although the statistics below show 28 as the details of one family are not held. </w:t>
      </w:r>
      <w:r w:rsidR="006D6177">
        <w:rPr>
          <w:sz w:val="24"/>
          <w:szCs w:val="24"/>
        </w:rPr>
        <w:t xml:space="preserve">Feedback has usually been positive although </w:t>
      </w:r>
      <w:r w:rsidR="003416BC">
        <w:rPr>
          <w:sz w:val="24"/>
          <w:szCs w:val="24"/>
        </w:rPr>
        <w:t>a child of one family had a bad asthma attack and had to go to hospital. The holiday was curtailed mid</w:t>
      </w:r>
      <w:r w:rsidR="00335FC2">
        <w:rPr>
          <w:sz w:val="24"/>
          <w:szCs w:val="24"/>
        </w:rPr>
        <w:t xml:space="preserve">week. 32 weeks were available and families had accepted </w:t>
      </w:r>
      <w:r w:rsidR="00C94EE4">
        <w:rPr>
          <w:sz w:val="24"/>
          <w:szCs w:val="24"/>
        </w:rPr>
        <w:t xml:space="preserve">the unfilled </w:t>
      </w:r>
      <w:r w:rsidR="00B543FA">
        <w:rPr>
          <w:sz w:val="24"/>
          <w:szCs w:val="24"/>
        </w:rPr>
        <w:t>weeks</w:t>
      </w:r>
      <w:r w:rsidR="00C94EE4">
        <w:rPr>
          <w:sz w:val="24"/>
          <w:szCs w:val="24"/>
        </w:rPr>
        <w:t>,</w:t>
      </w:r>
      <w:r w:rsidR="00B543FA">
        <w:rPr>
          <w:sz w:val="24"/>
          <w:szCs w:val="24"/>
        </w:rPr>
        <w:t xml:space="preserve"> however various problems meant that they were unable to take up the offer </w:t>
      </w:r>
      <w:r w:rsidR="00E320F9">
        <w:rPr>
          <w:sz w:val="24"/>
          <w:szCs w:val="24"/>
        </w:rPr>
        <w:t xml:space="preserve">at short notice </w:t>
      </w:r>
      <w:r w:rsidR="00926401">
        <w:rPr>
          <w:sz w:val="24"/>
          <w:szCs w:val="24"/>
        </w:rPr>
        <w:t>thus</w:t>
      </w:r>
      <w:r w:rsidR="00E320F9">
        <w:rPr>
          <w:sz w:val="24"/>
          <w:szCs w:val="24"/>
        </w:rPr>
        <w:t xml:space="preserve"> the weeks could not be offered to others. A child of one family broke her arm on the Saturday morning that they </w:t>
      </w:r>
      <w:proofErr w:type="spellStart"/>
      <w:r w:rsidR="00E320F9">
        <w:rPr>
          <w:sz w:val="24"/>
          <w:szCs w:val="24"/>
        </w:rPr>
        <w:t>wer</w:t>
      </w:r>
      <w:proofErr w:type="spellEnd"/>
      <w:r w:rsidR="00E320F9">
        <w:rPr>
          <w:sz w:val="24"/>
          <w:szCs w:val="24"/>
        </w:rPr>
        <w:t xml:space="preserve"> to go </w:t>
      </w:r>
      <w:r w:rsidR="00FF5C98">
        <w:rPr>
          <w:sz w:val="24"/>
          <w:szCs w:val="24"/>
        </w:rPr>
        <w:t xml:space="preserve">and sadly spent much time in A&amp;E. </w:t>
      </w:r>
    </w:p>
    <w:p w14:paraId="00C70B55" w14:textId="77777777" w:rsidR="00783512" w:rsidRDefault="00783512" w:rsidP="00926401">
      <w:pPr>
        <w:pStyle w:val="ListParagraph"/>
        <w:ind w:left="360"/>
        <w:jc w:val="both"/>
        <w:rPr>
          <w:b/>
          <w:bCs/>
          <w:sz w:val="24"/>
          <w:szCs w:val="24"/>
        </w:rPr>
      </w:pPr>
    </w:p>
    <w:p w14:paraId="7C453FEA" w14:textId="5817F44A" w:rsidR="00783512" w:rsidRPr="00783512" w:rsidRDefault="00783512" w:rsidP="00926401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Thanks go to all 5 conferences for their attention and help with running, maintaining</w:t>
      </w:r>
      <w:r w:rsidR="00D433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433C1">
        <w:rPr>
          <w:sz w:val="24"/>
          <w:szCs w:val="24"/>
        </w:rPr>
        <w:t xml:space="preserve">using and financing the Holiday Home. Thanks also go to the many friends outside the SVP without whose help the project would not be nearly as successful as it is. </w:t>
      </w:r>
    </w:p>
    <w:p w14:paraId="7B19B4C2" w14:textId="77777777" w:rsidR="00A23F26" w:rsidRDefault="00A23F26" w:rsidP="00E02014">
      <w:pPr>
        <w:rPr>
          <w:sz w:val="24"/>
          <w:szCs w:val="24"/>
        </w:rPr>
      </w:pPr>
    </w:p>
    <w:p w14:paraId="23FD10AB" w14:textId="1D28E441" w:rsidR="00A23F26" w:rsidRPr="00A23F26" w:rsidRDefault="00A23F26" w:rsidP="00E02014">
      <w:pPr>
        <w:rPr>
          <w:b/>
          <w:bCs/>
          <w:sz w:val="24"/>
          <w:szCs w:val="24"/>
        </w:rPr>
      </w:pPr>
      <w:r w:rsidRPr="00A23F26">
        <w:rPr>
          <w:b/>
          <w:bCs/>
          <w:sz w:val="24"/>
          <w:szCs w:val="24"/>
        </w:rPr>
        <w:t>2.0 Use of the Holiday Home</w:t>
      </w:r>
    </w:p>
    <w:p w14:paraId="6C41827D" w14:textId="77777777" w:rsidR="00C72106" w:rsidRDefault="00C72106" w:rsidP="00D5457F"/>
    <w:p w14:paraId="6AF3C281" w14:textId="52BC2349" w:rsidR="00E02014" w:rsidRDefault="00A23F26" w:rsidP="00926401">
      <w:pPr>
        <w:jc w:val="both"/>
      </w:pPr>
      <w:r>
        <w:t xml:space="preserve">The </w:t>
      </w:r>
      <w:r w:rsidR="00E75A2D">
        <w:t>histograms</w:t>
      </w:r>
      <w:r w:rsidR="00A7326A">
        <w:t xml:space="preserve"> show the types of family using the </w:t>
      </w:r>
      <w:r w:rsidR="00DC4919">
        <w:t>holiday home in the years 2022,2023 &amp; 2024</w:t>
      </w:r>
      <w:r w:rsidR="00A7326A">
        <w:t xml:space="preserve">. </w:t>
      </w:r>
    </w:p>
    <w:p w14:paraId="4DE9B66D" w14:textId="77777777" w:rsidR="00FF5C98" w:rsidRDefault="00FF5C98" w:rsidP="00926401">
      <w:pPr>
        <w:jc w:val="both"/>
      </w:pPr>
    </w:p>
    <w:p w14:paraId="4A02E535" w14:textId="3B9B2BDB" w:rsidR="00FF5C98" w:rsidRDefault="00CB74F4" w:rsidP="00926401">
      <w:pPr>
        <w:jc w:val="both"/>
      </w:pPr>
      <w:r>
        <w:t>There is consistency over the years with use of the holiday home</w:t>
      </w:r>
      <w:r w:rsidR="00606EBE">
        <w:t xml:space="preserve"> meani</w:t>
      </w:r>
      <w:r w:rsidR="00AD3224">
        <w:t xml:space="preserve">ng its used for 90% of the available time. Families of 3 and 4 members usually with 2 adults use the facility. </w:t>
      </w:r>
      <w:r w:rsidR="00F933E4">
        <w:t xml:space="preserve">We do have a small number of larger families and its gratifying that they can go as providing a holiday for </w:t>
      </w:r>
      <w:r w:rsidR="005010F3">
        <w:t xml:space="preserve">5 or 6 children is a strain. </w:t>
      </w:r>
    </w:p>
    <w:p w14:paraId="592A8971" w14:textId="3154E38C" w:rsidR="002B2D40" w:rsidRDefault="002B2D40" w:rsidP="00D5457F"/>
    <w:p w14:paraId="020225F6" w14:textId="5ED4E60B" w:rsidR="00C72106" w:rsidRDefault="0004775D" w:rsidP="00D5457F">
      <w:r>
        <w:rPr>
          <w:noProof/>
        </w:rPr>
        <w:drawing>
          <wp:inline distT="0" distB="0" distL="0" distR="0" wp14:anchorId="1375D633" wp14:editId="2AA7140E">
            <wp:extent cx="4572000" cy="2743200"/>
            <wp:effectExtent l="0" t="0" r="0" b="0"/>
            <wp:docPr id="21301994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1BDD06-6D5A-CAE3-BECC-7E349BF6EE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74AE4F" w14:textId="2B31371D" w:rsidR="00C72106" w:rsidRDefault="00C72106" w:rsidP="00D5457F"/>
    <w:p w14:paraId="001E9C12" w14:textId="480156FF" w:rsidR="00636CA5" w:rsidRDefault="000E0BC1" w:rsidP="00D5457F">
      <w:r>
        <w:t xml:space="preserve">Chart 1 shows the HH occupancy by family type. You will see that families range from a single person to </w:t>
      </w:r>
      <w:r w:rsidR="003F6462">
        <w:t>8 in a family</w:t>
      </w:r>
      <w:r>
        <w:t xml:space="preserve">. In all years the 2 adults and children are the predominant family. The chart highlights that the number of families using the HH </w:t>
      </w:r>
      <w:r w:rsidR="00A05ADF">
        <w:t>is levelling at 28</w:t>
      </w:r>
      <w:r w:rsidR="00930222">
        <w:t xml:space="preserve"> to 29 weeks used</w:t>
      </w:r>
      <w:r>
        <w:t>.</w:t>
      </w:r>
    </w:p>
    <w:p w14:paraId="4C6B873B" w14:textId="4F8F4288" w:rsidR="00636CA5" w:rsidRDefault="00636CA5" w:rsidP="00D5457F">
      <w:r>
        <w:lastRenderedPageBreak/>
        <w:t>Chart 2 below sho</w:t>
      </w:r>
      <w:r w:rsidR="000E0BC1">
        <w:t xml:space="preserve">ws for the </w:t>
      </w:r>
      <w:r w:rsidR="000D28D2">
        <w:t>4</w:t>
      </w:r>
      <w:r w:rsidR="000E0BC1">
        <w:t xml:space="preserve"> years the family size by number of persons. </w:t>
      </w:r>
      <w:r w:rsidR="00E020D2">
        <w:t xml:space="preserve">In 2025 4 in a family was the most common </w:t>
      </w:r>
      <w:r w:rsidR="000A0071">
        <w:t xml:space="preserve">but averaged over the 4 years 3 and 4 family size at 22% </w:t>
      </w:r>
      <w:r w:rsidR="00E65393">
        <w:t xml:space="preserve">are equal and the most common. One single person used the </w:t>
      </w:r>
      <w:r w:rsidR="003F6462">
        <w:t xml:space="preserve">caravan and 2 families of 8. </w:t>
      </w:r>
    </w:p>
    <w:p w14:paraId="458FA8AF" w14:textId="4AEE575C" w:rsidR="00A32CED" w:rsidRDefault="00F83056" w:rsidP="00A32C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3E360B97" w14:textId="38CCF017" w:rsidR="00310080" w:rsidRDefault="000D28D2" w:rsidP="007D7DB3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237334" wp14:editId="50076B5B">
            <wp:extent cx="4572000" cy="2886635"/>
            <wp:effectExtent l="0" t="0" r="0" b="9525"/>
            <wp:docPr id="772631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45A18F1-D0D9-5466-6C3A-63B76715CA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4FAC5B" w14:textId="43A53408" w:rsidR="00310080" w:rsidRDefault="00310080" w:rsidP="007D7DB3">
      <w:pPr>
        <w:jc w:val="center"/>
        <w:rPr>
          <w:rFonts w:ascii="Arial" w:hAnsi="Arial" w:cs="Arial"/>
        </w:rPr>
      </w:pPr>
    </w:p>
    <w:p w14:paraId="3EB5FC75" w14:textId="06E121C3" w:rsidR="00D433C1" w:rsidRDefault="003851EF" w:rsidP="00D433C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2.1 </w:t>
      </w:r>
      <w:r w:rsidR="00972382" w:rsidRPr="00972382">
        <w:rPr>
          <w:rFonts w:ascii="Arial" w:hAnsi="Arial" w:cs="Arial"/>
          <w:b/>
          <w:bCs/>
        </w:rPr>
        <w:t xml:space="preserve"> Feedback</w:t>
      </w:r>
      <w:r w:rsidR="00972382">
        <w:rPr>
          <w:rFonts w:ascii="Arial" w:hAnsi="Arial" w:cs="Arial"/>
          <w:b/>
          <w:bCs/>
        </w:rPr>
        <w:t xml:space="preserve"> </w:t>
      </w:r>
      <w:r w:rsidR="009562A2">
        <w:rPr>
          <w:rFonts w:ascii="Arial" w:hAnsi="Arial" w:cs="Arial"/>
        </w:rPr>
        <w:t>In</w:t>
      </w:r>
      <w:r w:rsidR="00205125">
        <w:rPr>
          <w:rFonts w:ascii="Arial" w:hAnsi="Arial" w:cs="Arial"/>
        </w:rPr>
        <w:t xml:space="preserve"> line with other years most families had lovely holidays even if the weather wasn’t kind</w:t>
      </w:r>
      <w:r w:rsidR="00F445D3">
        <w:rPr>
          <w:rFonts w:ascii="Arial" w:hAnsi="Arial" w:cs="Arial"/>
        </w:rPr>
        <w:t>.</w:t>
      </w:r>
      <w:r w:rsidR="00205125">
        <w:rPr>
          <w:rFonts w:ascii="Arial" w:hAnsi="Arial" w:cs="Arial"/>
        </w:rPr>
        <w:t xml:space="preserve"> </w:t>
      </w:r>
    </w:p>
    <w:p w14:paraId="154224C3" w14:textId="77777777" w:rsidR="00D433C1" w:rsidRDefault="00D433C1" w:rsidP="00972382">
      <w:pPr>
        <w:rPr>
          <w:rFonts w:ascii="Arial" w:hAnsi="Arial" w:cs="Arial"/>
          <w:b/>
          <w:bCs/>
        </w:rPr>
      </w:pPr>
    </w:p>
    <w:p w14:paraId="15581631" w14:textId="77AE3586" w:rsidR="00584C11" w:rsidRDefault="00C83E49" w:rsidP="009723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3.0 </w:t>
      </w:r>
      <w:r w:rsidR="00205075">
        <w:rPr>
          <w:rFonts w:ascii="Arial" w:hAnsi="Arial" w:cs="Arial"/>
          <w:b/>
          <w:bCs/>
        </w:rPr>
        <w:t>Holiday Home Renewal</w:t>
      </w:r>
    </w:p>
    <w:p w14:paraId="7DEE5E09" w14:textId="77777777" w:rsidR="00205075" w:rsidRDefault="00205075" w:rsidP="00972382">
      <w:pPr>
        <w:rPr>
          <w:rFonts w:ascii="Arial" w:hAnsi="Arial" w:cs="Arial"/>
          <w:b/>
          <w:bCs/>
        </w:rPr>
      </w:pPr>
    </w:p>
    <w:p w14:paraId="239BCA19" w14:textId="48334568" w:rsidR="00584C11" w:rsidRDefault="00584C11" w:rsidP="00926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5F6350">
        <w:rPr>
          <w:rFonts w:ascii="Arial" w:hAnsi="Arial" w:cs="Arial"/>
        </w:rPr>
        <w:t xml:space="preserve"> holiday home current and deposit accounts together </w:t>
      </w:r>
      <w:r w:rsidR="00571C7D">
        <w:rPr>
          <w:rFonts w:ascii="Arial" w:hAnsi="Arial" w:cs="Arial"/>
        </w:rPr>
        <w:t xml:space="preserve">total £30500. </w:t>
      </w:r>
      <w:r w:rsidR="00F94BA5">
        <w:rPr>
          <w:rFonts w:ascii="Arial" w:hAnsi="Arial" w:cs="Arial"/>
        </w:rPr>
        <w:t xml:space="preserve">Deposit interest so far amounts to just under £1000 so the total available is £31500. </w:t>
      </w:r>
      <w:r w:rsidR="001252DF">
        <w:rPr>
          <w:rFonts w:ascii="Arial" w:hAnsi="Arial" w:cs="Arial"/>
        </w:rPr>
        <w:t xml:space="preserve">This financial year £7,500 has been raised and </w:t>
      </w:r>
      <w:r w:rsidR="00026DDA">
        <w:rPr>
          <w:rFonts w:ascii="Arial" w:hAnsi="Arial" w:cs="Arial"/>
        </w:rPr>
        <w:t>£4,800 spent</w:t>
      </w:r>
      <w:r w:rsidR="00BC63BB">
        <w:rPr>
          <w:rFonts w:ascii="Arial" w:hAnsi="Arial" w:cs="Arial"/>
        </w:rPr>
        <w:t xml:space="preserve"> giving a profit of £2,700. </w:t>
      </w:r>
      <w:r w:rsidR="000B7113">
        <w:rPr>
          <w:rFonts w:ascii="Arial" w:hAnsi="Arial" w:cs="Arial"/>
        </w:rPr>
        <w:t>The holiday home is 3 years old and replacement is some year</w:t>
      </w:r>
      <w:r w:rsidR="00835DF5">
        <w:rPr>
          <w:rFonts w:ascii="Arial" w:hAnsi="Arial" w:cs="Arial"/>
        </w:rPr>
        <w:t>s</w:t>
      </w:r>
      <w:r w:rsidR="000B7113">
        <w:rPr>
          <w:rFonts w:ascii="Arial" w:hAnsi="Arial" w:cs="Arial"/>
        </w:rPr>
        <w:t xml:space="preserve"> away. The previous </w:t>
      </w:r>
      <w:r w:rsidR="00430194">
        <w:rPr>
          <w:rFonts w:ascii="Arial" w:hAnsi="Arial" w:cs="Arial"/>
        </w:rPr>
        <w:t>caravan was 12</w:t>
      </w:r>
      <w:r w:rsidR="00835DF5">
        <w:rPr>
          <w:rFonts w:ascii="Arial" w:hAnsi="Arial" w:cs="Arial"/>
        </w:rPr>
        <w:t xml:space="preserve"> </w:t>
      </w:r>
      <w:r w:rsidR="00430194">
        <w:rPr>
          <w:rFonts w:ascii="Arial" w:hAnsi="Arial" w:cs="Arial"/>
        </w:rPr>
        <w:t xml:space="preserve">years old when scrapped. </w:t>
      </w:r>
    </w:p>
    <w:p w14:paraId="4CADDF48" w14:textId="77777777" w:rsidR="00926401" w:rsidRDefault="00926401" w:rsidP="00926401">
      <w:pPr>
        <w:jc w:val="both"/>
        <w:rPr>
          <w:rFonts w:ascii="Arial" w:hAnsi="Arial" w:cs="Arial"/>
        </w:rPr>
      </w:pPr>
    </w:p>
    <w:p w14:paraId="47C9D2E0" w14:textId="77865BCA" w:rsidR="006B2F58" w:rsidRPr="00584C11" w:rsidRDefault="006B2F58" w:rsidP="009264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Assuming the same timescale and considering a £2000 profit annually </w:t>
      </w:r>
      <w:r w:rsidR="003D034A">
        <w:rPr>
          <w:rFonts w:ascii="Arial" w:hAnsi="Arial" w:cs="Arial"/>
        </w:rPr>
        <w:t xml:space="preserve">plus £1000 interest there could be </w:t>
      </w:r>
      <w:r w:rsidR="009B3A8B">
        <w:rPr>
          <w:rFonts w:ascii="Arial" w:hAnsi="Arial" w:cs="Arial"/>
        </w:rPr>
        <w:t xml:space="preserve">just under £60,000 available </w:t>
      </w:r>
      <w:r w:rsidR="00D75B3D">
        <w:rPr>
          <w:rFonts w:ascii="Arial" w:hAnsi="Arial" w:cs="Arial"/>
        </w:rPr>
        <w:t>for renewal in 2034. A part exc</w:t>
      </w:r>
      <w:r w:rsidR="00FD1287">
        <w:rPr>
          <w:rFonts w:ascii="Arial" w:hAnsi="Arial" w:cs="Arial"/>
        </w:rPr>
        <w:t xml:space="preserve">hange renewal may cost £80,000 thus </w:t>
      </w:r>
      <w:r w:rsidR="0080359A">
        <w:rPr>
          <w:rFonts w:ascii="Arial" w:hAnsi="Arial" w:cs="Arial"/>
        </w:rPr>
        <w:t>we would need to secure a £20,000 grant</w:t>
      </w:r>
      <w:r w:rsidR="00783512">
        <w:rPr>
          <w:rFonts w:ascii="Arial" w:hAnsi="Arial" w:cs="Arial"/>
        </w:rPr>
        <w:t xml:space="preserve">. This may be possible using the </w:t>
      </w:r>
      <w:proofErr w:type="spellStart"/>
      <w:r w:rsidR="00783512">
        <w:rPr>
          <w:rFonts w:ascii="Arial" w:hAnsi="Arial" w:cs="Arial"/>
        </w:rPr>
        <w:t>Spacehive</w:t>
      </w:r>
      <w:proofErr w:type="spellEnd"/>
      <w:r w:rsidR="00783512">
        <w:rPr>
          <w:rFonts w:ascii="Arial" w:hAnsi="Arial" w:cs="Arial"/>
        </w:rPr>
        <w:t xml:space="preserve"> online platform</w:t>
      </w:r>
      <w:r w:rsidR="00324496">
        <w:rPr>
          <w:rFonts w:ascii="Arial" w:hAnsi="Arial" w:cs="Arial"/>
        </w:rPr>
        <w:t xml:space="preserve"> as was achieved in </w:t>
      </w:r>
      <w:r w:rsidR="009652A1">
        <w:rPr>
          <w:rFonts w:ascii="Arial" w:hAnsi="Arial" w:cs="Arial"/>
        </w:rPr>
        <w:t xml:space="preserve">the spring of 2022. </w:t>
      </w:r>
    </w:p>
    <w:sectPr w:rsidR="006B2F58" w:rsidRPr="00584C11" w:rsidSect="0055153A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177F" w14:textId="77777777" w:rsidR="00A7688B" w:rsidRDefault="00A7688B" w:rsidP="00A90441">
      <w:r>
        <w:separator/>
      </w:r>
    </w:p>
  </w:endnote>
  <w:endnote w:type="continuationSeparator" w:id="0">
    <w:p w14:paraId="7F2A0F42" w14:textId="77777777" w:rsidR="00A7688B" w:rsidRDefault="00A7688B" w:rsidP="00A9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CBE9" w14:textId="77777777" w:rsidR="00A7688B" w:rsidRDefault="00A7688B" w:rsidP="00A90441">
      <w:r>
        <w:separator/>
      </w:r>
    </w:p>
  </w:footnote>
  <w:footnote w:type="continuationSeparator" w:id="0">
    <w:p w14:paraId="01BCB859" w14:textId="77777777" w:rsidR="00A7688B" w:rsidRDefault="00A7688B" w:rsidP="00A9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9552" w14:textId="30E631FE" w:rsidR="001A11B5" w:rsidRDefault="00A90441" w:rsidP="00007B8B">
    <w:pPr>
      <w:pStyle w:val="Header"/>
      <w:jc w:val="center"/>
      <w:rPr>
        <w:rFonts w:ascii="Arial" w:hAnsi="Arial" w:cs="Arial"/>
        <w:b/>
        <w:sz w:val="28"/>
        <w:szCs w:val="28"/>
      </w:rPr>
    </w:pPr>
    <w:r w:rsidRPr="007060B6">
      <w:rPr>
        <w:rFonts w:ascii="Arial" w:hAnsi="Arial" w:cs="Arial"/>
        <w:b/>
        <w:sz w:val="28"/>
        <w:szCs w:val="28"/>
      </w:rPr>
      <w:t>St Vincent de Paul Society</w:t>
    </w:r>
  </w:p>
  <w:p w14:paraId="3B9B7316" w14:textId="56135677" w:rsidR="00A90441" w:rsidRDefault="001A11B5">
    <w:pPr>
      <w:pStyle w:val="Header"/>
    </w:pPr>
    <w:r>
      <w:rPr>
        <w:rFonts w:ascii="Arial" w:hAnsi="Arial" w:cs="Arial"/>
        <w:b/>
        <w:sz w:val="28"/>
        <w:szCs w:val="28"/>
      </w:rPr>
      <w:t>Chester &amp; Ellesmere Port District</w:t>
    </w:r>
    <w:r w:rsidR="00A90441" w:rsidRPr="007060B6">
      <w:rPr>
        <w:rFonts w:ascii="Arial" w:hAnsi="Arial" w:cs="Arial"/>
        <w:b/>
        <w:sz w:val="28"/>
        <w:szCs w:val="28"/>
      </w:rPr>
      <w:ptab w:relativeTo="margin" w:alignment="center" w:leader="none"/>
    </w:r>
    <w:r w:rsidR="00A90441">
      <w:rPr>
        <w:noProof/>
        <w:lang w:eastAsia="en-GB"/>
      </w:rPr>
      <w:drawing>
        <wp:inline distT="0" distB="0" distL="0" distR="0" wp14:anchorId="0A1059DF" wp14:editId="30547CC8">
          <wp:extent cx="592455" cy="727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0960">
      <w:rPr>
        <w:rFonts w:ascii="Arial" w:hAnsi="Arial" w:cs="Arial"/>
        <w:b/>
        <w:sz w:val="28"/>
        <w:szCs w:val="28"/>
      </w:rPr>
      <w:t xml:space="preserve">             </w:t>
    </w:r>
    <w:r w:rsidR="001F6B18">
      <w:rPr>
        <w:rFonts w:ascii="Arial" w:hAnsi="Arial" w:cs="Arial"/>
        <w:b/>
        <w:sz w:val="28"/>
        <w:szCs w:val="28"/>
      </w:rPr>
      <w:t>Holiday Home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155"/>
    <w:multiLevelType w:val="multilevel"/>
    <w:tmpl w:val="9182B2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0B0C7C2E"/>
    <w:multiLevelType w:val="hybridMultilevel"/>
    <w:tmpl w:val="94A4E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21ED"/>
    <w:multiLevelType w:val="hybridMultilevel"/>
    <w:tmpl w:val="B72A658A"/>
    <w:lvl w:ilvl="0" w:tplc="1C08AF0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7DE0"/>
    <w:multiLevelType w:val="hybridMultilevel"/>
    <w:tmpl w:val="52504F4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D2B8A"/>
    <w:multiLevelType w:val="hybridMultilevel"/>
    <w:tmpl w:val="465CC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26048"/>
    <w:multiLevelType w:val="multilevel"/>
    <w:tmpl w:val="0946252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A3E636E"/>
    <w:multiLevelType w:val="hybridMultilevel"/>
    <w:tmpl w:val="9A14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6876"/>
    <w:multiLevelType w:val="multilevel"/>
    <w:tmpl w:val="ADC85C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B028A1"/>
    <w:multiLevelType w:val="hybridMultilevel"/>
    <w:tmpl w:val="902C4EAE"/>
    <w:lvl w:ilvl="0" w:tplc="08090011">
      <w:start w:val="8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E3300"/>
    <w:multiLevelType w:val="multilevel"/>
    <w:tmpl w:val="1BF029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EC6CD2"/>
    <w:multiLevelType w:val="hybridMultilevel"/>
    <w:tmpl w:val="29724CCC"/>
    <w:lvl w:ilvl="0" w:tplc="96108E0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833DD"/>
    <w:multiLevelType w:val="multilevel"/>
    <w:tmpl w:val="DFE29F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4EFE2B73"/>
    <w:multiLevelType w:val="multilevel"/>
    <w:tmpl w:val="1EB095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C254BD9"/>
    <w:multiLevelType w:val="hybridMultilevel"/>
    <w:tmpl w:val="FDCC0DAA"/>
    <w:lvl w:ilvl="0" w:tplc="795C37E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13564"/>
    <w:multiLevelType w:val="hybridMultilevel"/>
    <w:tmpl w:val="011E19F2"/>
    <w:lvl w:ilvl="0" w:tplc="80188A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2381D"/>
    <w:multiLevelType w:val="hybridMultilevel"/>
    <w:tmpl w:val="C97AC512"/>
    <w:lvl w:ilvl="0" w:tplc="D15EB09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0794D"/>
    <w:multiLevelType w:val="multilevel"/>
    <w:tmpl w:val="90604C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09856822">
    <w:abstractNumId w:val="10"/>
  </w:num>
  <w:num w:numId="2" w16cid:durableId="1762608144">
    <w:abstractNumId w:val="8"/>
  </w:num>
  <w:num w:numId="3" w16cid:durableId="2022513301">
    <w:abstractNumId w:val="11"/>
  </w:num>
  <w:num w:numId="4" w16cid:durableId="1187870729">
    <w:abstractNumId w:val="15"/>
  </w:num>
  <w:num w:numId="5" w16cid:durableId="390426288">
    <w:abstractNumId w:val="0"/>
  </w:num>
  <w:num w:numId="6" w16cid:durableId="1010523651">
    <w:abstractNumId w:val="12"/>
  </w:num>
  <w:num w:numId="7" w16cid:durableId="350882146">
    <w:abstractNumId w:val="16"/>
  </w:num>
  <w:num w:numId="8" w16cid:durableId="1903172103">
    <w:abstractNumId w:val="2"/>
  </w:num>
  <w:num w:numId="9" w16cid:durableId="411439535">
    <w:abstractNumId w:val="13"/>
  </w:num>
  <w:num w:numId="10" w16cid:durableId="1669672493">
    <w:abstractNumId w:val="14"/>
  </w:num>
  <w:num w:numId="11" w16cid:durableId="2143576567">
    <w:abstractNumId w:val="3"/>
  </w:num>
  <w:num w:numId="12" w16cid:durableId="1719435244">
    <w:abstractNumId w:val="1"/>
  </w:num>
  <w:num w:numId="13" w16cid:durableId="1438863784">
    <w:abstractNumId w:val="4"/>
  </w:num>
  <w:num w:numId="14" w16cid:durableId="388043349">
    <w:abstractNumId w:val="7"/>
  </w:num>
  <w:num w:numId="15" w16cid:durableId="2066752624">
    <w:abstractNumId w:val="9"/>
  </w:num>
  <w:num w:numId="16" w16cid:durableId="1590386609">
    <w:abstractNumId w:val="6"/>
  </w:num>
  <w:num w:numId="17" w16cid:durableId="1564481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20"/>
    <w:rsid w:val="0000404B"/>
    <w:rsid w:val="000075D5"/>
    <w:rsid w:val="00007B8B"/>
    <w:rsid w:val="00011480"/>
    <w:rsid w:val="0001286A"/>
    <w:rsid w:val="0002046A"/>
    <w:rsid w:val="000206BF"/>
    <w:rsid w:val="00021F43"/>
    <w:rsid w:val="00022387"/>
    <w:rsid w:val="00026103"/>
    <w:rsid w:val="00026DDA"/>
    <w:rsid w:val="000329A6"/>
    <w:rsid w:val="00033286"/>
    <w:rsid w:val="00033820"/>
    <w:rsid w:val="0003415D"/>
    <w:rsid w:val="0003632E"/>
    <w:rsid w:val="00047201"/>
    <w:rsid w:val="0004775D"/>
    <w:rsid w:val="0005180F"/>
    <w:rsid w:val="00052217"/>
    <w:rsid w:val="00065DAC"/>
    <w:rsid w:val="00071EF4"/>
    <w:rsid w:val="00075D03"/>
    <w:rsid w:val="00080F50"/>
    <w:rsid w:val="0008405B"/>
    <w:rsid w:val="000917B1"/>
    <w:rsid w:val="0009714F"/>
    <w:rsid w:val="00097416"/>
    <w:rsid w:val="00097D06"/>
    <w:rsid w:val="000A0071"/>
    <w:rsid w:val="000A0960"/>
    <w:rsid w:val="000A1EB2"/>
    <w:rsid w:val="000A1ECD"/>
    <w:rsid w:val="000A73D5"/>
    <w:rsid w:val="000B3922"/>
    <w:rsid w:val="000B5AEC"/>
    <w:rsid w:val="000B6F61"/>
    <w:rsid w:val="000B7113"/>
    <w:rsid w:val="000B73BC"/>
    <w:rsid w:val="000B7866"/>
    <w:rsid w:val="000C51F8"/>
    <w:rsid w:val="000C56ED"/>
    <w:rsid w:val="000C5D93"/>
    <w:rsid w:val="000D28D2"/>
    <w:rsid w:val="000D5B45"/>
    <w:rsid w:val="000E0BC1"/>
    <w:rsid w:val="000E0BC2"/>
    <w:rsid w:val="000E175E"/>
    <w:rsid w:val="000F67BE"/>
    <w:rsid w:val="00102498"/>
    <w:rsid w:val="00103559"/>
    <w:rsid w:val="00103CB5"/>
    <w:rsid w:val="0010462E"/>
    <w:rsid w:val="00105749"/>
    <w:rsid w:val="00110846"/>
    <w:rsid w:val="00110DE6"/>
    <w:rsid w:val="00112D8A"/>
    <w:rsid w:val="00114CEB"/>
    <w:rsid w:val="00114FCF"/>
    <w:rsid w:val="00116C12"/>
    <w:rsid w:val="0011784C"/>
    <w:rsid w:val="00123D6A"/>
    <w:rsid w:val="00123DE8"/>
    <w:rsid w:val="0012456B"/>
    <w:rsid w:val="001247FC"/>
    <w:rsid w:val="001252DF"/>
    <w:rsid w:val="0013178B"/>
    <w:rsid w:val="00133F9B"/>
    <w:rsid w:val="00137205"/>
    <w:rsid w:val="00142446"/>
    <w:rsid w:val="001476CB"/>
    <w:rsid w:val="00150DCF"/>
    <w:rsid w:val="0015584D"/>
    <w:rsid w:val="00155AB4"/>
    <w:rsid w:val="00160228"/>
    <w:rsid w:val="001638FB"/>
    <w:rsid w:val="00170666"/>
    <w:rsid w:val="00182494"/>
    <w:rsid w:val="00186AA1"/>
    <w:rsid w:val="00197AFC"/>
    <w:rsid w:val="001A11B5"/>
    <w:rsid w:val="001A4A01"/>
    <w:rsid w:val="001A64C8"/>
    <w:rsid w:val="001A7611"/>
    <w:rsid w:val="001B096A"/>
    <w:rsid w:val="001B17B7"/>
    <w:rsid w:val="001C2D7D"/>
    <w:rsid w:val="001C6AAD"/>
    <w:rsid w:val="001C7EDB"/>
    <w:rsid w:val="001D4441"/>
    <w:rsid w:val="001D5136"/>
    <w:rsid w:val="001D7514"/>
    <w:rsid w:val="001E14F9"/>
    <w:rsid w:val="001E65DE"/>
    <w:rsid w:val="001F2A8F"/>
    <w:rsid w:val="001F6B18"/>
    <w:rsid w:val="00201495"/>
    <w:rsid w:val="00202A87"/>
    <w:rsid w:val="00205075"/>
    <w:rsid w:val="00205125"/>
    <w:rsid w:val="00205F8C"/>
    <w:rsid w:val="00212DE1"/>
    <w:rsid w:val="002144BF"/>
    <w:rsid w:val="002224B1"/>
    <w:rsid w:val="002235A0"/>
    <w:rsid w:val="00230611"/>
    <w:rsid w:val="0023411A"/>
    <w:rsid w:val="002379C0"/>
    <w:rsid w:val="002410A5"/>
    <w:rsid w:val="002610B6"/>
    <w:rsid w:val="00262A6C"/>
    <w:rsid w:val="00263904"/>
    <w:rsid w:val="00264DC8"/>
    <w:rsid w:val="002652BF"/>
    <w:rsid w:val="00265E7F"/>
    <w:rsid w:val="00271B3F"/>
    <w:rsid w:val="00272353"/>
    <w:rsid w:val="00274CA0"/>
    <w:rsid w:val="0027581F"/>
    <w:rsid w:val="00275DDF"/>
    <w:rsid w:val="002765D0"/>
    <w:rsid w:val="002823D8"/>
    <w:rsid w:val="002824E4"/>
    <w:rsid w:val="00286A00"/>
    <w:rsid w:val="00286E0F"/>
    <w:rsid w:val="002930BD"/>
    <w:rsid w:val="00294A78"/>
    <w:rsid w:val="002A2CFC"/>
    <w:rsid w:val="002A4D02"/>
    <w:rsid w:val="002A522D"/>
    <w:rsid w:val="002A52E4"/>
    <w:rsid w:val="002A5DAE"/>
    <w:rsid w:val="002B1B76"/>
    <w:rsid w:val="002B2D40"/>
    <w:rsid w:val="002B2E26"/>
    <w:rsid w:val="002B3C06"/>
    <w:rsid w:val="002B4994"/>
    <w:rsid w:val="002B53C4"/>
    <w:rsid w:val="002C0D2C"/>
    <w:rsid w:val="002C14D7"/>
    <w:rsid w:val="002C2423"/>
    <w:rsid w:val="002C2B21"/>
    <w:rsid w:val="002C546D"/>
    <w:rsid w:val="002C603E"/>
    <w:rsid w:val="002D057B"/>
    <w:rsid w:val="002D40C5"/>
    <w:rsid w:val="002D49AD"/>
    <w:rsid w:val="002D6F00"/>
    <w:rsid w:val="002E42E7"/>
    <w:rsid w:val="002E5EAA"/>
    <w:rsid w:val="002F26D0"/>
    <w:rsid w:val="002F4C65"/>
    <w:rsid w:val="002F4C92"/>
    <w:rsid w:val="002F5367"/>
    <w:rsid w:val="002F6426"/>
    <w:rsid w:val="002F70BF"/>
    <w:rsid w:val="00310080"/>
    <w:rsid w:val="00312C26"/>
    <w:rsid w:val="0031303A"/>
    <w:rsid w:val="00315BD5"/>
    <w:rsid w:val="003221F6"/>
    <w:rsid w:val="00324496"/>
    <w:rsid w:val="003255FD"/>
    <w:rsid w:val="003274C4"/>
    <w:rsid w:val="0033419D"/>
    <w:rsid w:val="00335FC2"/>
    <w:rsid w:val="003371EA"/>
    <w:rsid w:val="0034021F"/>
    <w:rsid w:val="0034088C"/>
    <w:rsid w:val="003416BC"/>
    <w:rsid w:val="00341BF8"/>
    <w:rsid w:val="00351839"/>
    <w:rsid w:val="003525E6"/>
    <w:rsid w:val="00353EB3"/>
    <w:rsid w:val="00362589"/>
    <w:rsid w:val="00363E92"/>
    <w:rsid w:val="00367518"/>
    <w:rsid w:val="003729A1"/>
    <w:rsid w:val="00375007"/>
    <w:rsid w:val="00377ED0"/>
    <w:rsid w:val="003809A3"/>
    <w:rsid w:val="00382F43"/>
    <w:rsid w:val="00384ED0"/>
    <w:rsid w:val="003851EF"/>
    <w:rsid w:val="00391391"/>
    <w:rsid w:val="0039147D"/>
    <w:rsid w:val="00393443"/>
    <w:rsid w:val="003935F9"/>
    <w:rsid w:val="003A3237"/>
    <w:rsid w:val="003A7779"/>
    <w:rsid w:val="003A796A"/>
    <w:rsid w:val="003B1B17"/>
    <w:rsid w:val="003B2DC9"/>
    <w:rsid w:val="003B3AAF"/>
    <w:rsid w:val="003B5E40"/>
    <w:rsid w:val="003B7584"/>
    <w:rsid w:val="003B77D3"/>
    <w:rsid w:val="003C0AE2"/>
    <w:rsid w:val="003C361C"/>
    <w:rsid w:val="003C52C0"/>
    <w:rsid w:val="003D01A0"/>
    <w:rsid w:val="003D034A"/>
    <w:rsid w:val="003D2952"/>
    <w:rsid w:val="003D3278"/>
    <w:rsid w:val="003D435F"/>
    <w:rsid w:val="003D6030"/>
    <w:rsid w:val="003D6DAE"/>
    <w:rsid w:val="003D74B5"/>
    <w:rsid w:val="003E16B9"/>
    <w:rsid w:val="003E6CE0"/>
    <w:rsid w:val="003E7802"/>
    <w:rsid w:val="003F6462"/>
    <w:rsid w:val="00401820"/>
    <w:rsid w:val="004025F4"/>
    <w:rsid w:val="00403C09"/>
    <w:rsid w:val="00415CD4"/>
    <w:rsid w:val="00415D12"/>
    <w:rsid w:val="00416B74"/>
    <w:rsid w:val="004204CA"/>
    <w:rsid w:val="0042108C"/>
    <w:rsid w:val="004212CB"/>
    <w:rsid w:val="0042468C"/>
    <w:rsid w:val="00425426"/>
    <w:rsid w:val="00430194"/>
    <w:rsid w:val="00430304"/>
    <w:rsid w:val="004308A8"/>
    <w:rsid w:val="00434755"/>
    <w:rsid w:val="0043603A"/>
    <w:rsid w:val="0043786B"/>
    <w:rsid w:val="004443B7"/>
    <w:rsid w:val="0044763C"/>
    <w:rsid w:val="0045193E"/>
    <w:rsid w:val="00453FCE"/>
    <w:rsid w:val="00460D1D"/>
    <w:rsid w:val="00466109"/>
    <w:rsid w:val="004679FC"/>
    <w:rsid w:val="00472018"/>
    <w:rsid w:val="0047578A"/>
    <w:rsid w:val="00485060"/>
    <w:rsid w:val="00487167"/>
    <w:rsid w:val="00494459"/>
    <w:rsid w:val="004953AF"/>
    <w:rsid w:val="00496919"/>
    <w:rsid w:val="004A0095"/>
    <w:rsid w:val="004A2C09"/>
    <w:rsid w:val="004A2E97"/>
    <w:rsid w:val="004A7262"/>
    <w:rsid w:val="004B2653"/>
    <w:rsid w:val="004B34D0"/>
    <w:rsid w:val="004B43AB"/>
    <w:rsid w:val="004B531C"/>
    <w:rsid w:val="004C5A60"/>
    <w:rsid w:val="004C750F"/>
    <w:rsid w:val="004C7B6B"/>
    <w:rsid w:val="004C7BF4"/>
    <w:rsid w:val="004D2429"/>
    <w:rsid w:val="004D463B"/>
    <w:rsid w:val="004D5087"/>
    <w:rsid w:val="004D5A32"/>
    <w:rsid w:val="004D5DAE"/>
    <w:rsid w:val="004D6A33"/>
    <w:rsid w:val="004D7E94"/>
    <w:rsid w:val="004E54C2"/>
    <w:rsid w:val="004F3BA4"/>
    <w:rsid w:val="005010F3"/>
    <w:rsid w:val="005011AB"/>
    <w:rsid w:val="0050199D"/>
    <w:rsid w:val="00504C41"/>
    <w:rsid w:val="00506C24"/>
    <w:rsid w:val="005071F1"/>
    <w:rsid w:val="005121EC"/>
    <w:rsid w:val="00515C76"/>
    <w:rsid w:val="00517628"/>
    <w:rsid w:val="00517B0A"/>
    <w:rsid w:val="00523445"/>
    <w:rsid w:val="005236BF"/>
    <w:rsid w:val="0052491A"/>
    <w:rsid w:val="00526105"/>
    <w:rsid w:val="00526801"/>
    <w:rsid w:val="00526C99"/>
    <w:rsid w:val="00534CF6"/>
    <w:rsid w:val="00535944"/>
    <w:rsid w:val="00537F77"/>
    <w:rsid w:val="00542426"/>
    <w:rsid w:val="0055153A"/>
    <w:rsid w:val="00551976"/>
    <w:rsid w:val="0055315A"/>
    <w:rsid w:val="005564C5"/>
    <w:rsid w:val="005577D9"/>
    <w:rsid w:val="005609E4"/>
    <w:rsid w:val="00571C7D"/>
    <w:rsid w:val="005729AB"/>
    <w:rsid w:val="00583F69"/>
    <w:rsid w:val="00584C11"/>
    <w:rsid w:val="00585722"/>
    <w:rsid w:val="00594996"/>
    <w:rsid w:val="005968FE"/>
    <w:rsid w:val="005974CD"/>
    <w:rsid w:val="005B0E31"/>
    <w:rsid w:val="005B35F4"/>
    <w:rsid w:val="005B5EB2"/>
    <w:rsid w:val="005C0B11"/>
    <w:rsid w:val="005C207A"/>
    <w:rsid w:val="005C38F8"/>
    <w:rsid w:val="005C44DC"/>
    <w:rsid w:val="005C4853"/>
    <w:rsid w:val="005C72D7"/>
    <w:rsid w:val="005D5097"/>
    <w:rsid w:val="005E2103"/>
    <w:rsid w:val="005E7D68"/>
    <w:rsid w:val="005F1D7A"/>
    <w:rsid w:val="005F6350"/>
    <w:rsid w:val="005F7793"/>
    <w:rsid w:val="00606EBE"/>
    <w:rsid w:val="006070D2"/>
    <w:rsid w:val="00610E90"/>
    <w:rsid w:val="00612FF4"/>
    <w:rsid w:val="006138E3"/>
    <w:rsid w:val="006145BB"/>
    <w:rsid w:val="006150E8"/>
    <w:rsid w:val="00617806"/>
    <w:rsid w:val="00620636"/>
    <w:rsid w:val="00620A40"/>
    <w:rsid w:val="00622CEA"/>
    <w:rsid w:val="006369A5"/>
    <w:rsid w:val="00636CA5"/>
    <w:rsid w:val="00637931"/>
    <w:rsid w:val="00640695"/>
    <w:rsid w:val="00645AFB"/>
    <w:rsid w:val="00645CC0"/>
    <w:rsid w:val="0064678B"/>
    <w:rsid w:val="00653CB4"/>
    <w:rsid w:val="006549A1"/>
    <w:rsid w:val="00656B4F"/>
    <w:rsid w:val="00662717"/>
    <w:rsid w:val="006640A5"/>
    <w:rsid w:val="00665B1D"/>
    <w:rsid w:val="006664C6"/>
    <w:rsid w:val="006668C5"/>
    <w:rsid w:val="00667BE5"/>
    <w:rsid w:val="00676B5C"/>
    <w:rsid w:val="00693D39"/>
    <w:rsid w:val="00695B2E"/>
    <w:rsid w:val="00696E30"/>
    <w:rsid w:val="00696F9E"/>
    <w:rsid w:val="006A26B0"/>
    <w:rsid w:val="006A30F8"/>
    <w:rsid w:val="006A3D0B"/>
    <w:rsid w:val="006A688F"/>
    <w:rsid w:val="006B11B4"/>
    <w:rsid w:val="006B2F58"/>
    <w:rsid w:val="006B57F2"/>
    <w:rsid w:val="006C0A0D"/>
    <w:rsid w:val="006C2CB0"/>
    <w:rsid w:val="006D3001"/>
    <w:rsid w:val="006D6177"/>
    <w:rsid w:val="006E3152"/>
    <w:rsid w:val="006E3B4F"/>
    <w:rsid w:val="006E55DC"/>
    <w:rsid w:val="006E5F36"/>
    <w:rsid w:val="006E69B8"/>
    <w:rsid w:val="006F3407"/>
    <w:rsid w:val="006F3C6A"/>
    <w:rsid w:val="007055D4"/>
    <w:rsid w:val="007060B6"/>
    <w:rsid w:val="007141A6"/>
    <w:rsid w:val="00724C5F"/>
    <w:rsid w:val="00725CE4"/>
    <w:rsid w:val="00732DCE"/>
    <w:rsid w:val="00733D39"/>
    <w:rsid w:val="00734FC0"/>
    <w:rsid w:val="00741AE1"/>
    <w:rsid w:val="00742A06"/>
    <w:rsid w:val="00742A89"/>
    <w:rsid w:val="007468E9"/>
    <w:rsid w:val="0076078F"/>
    <w:rsid w:val="00760DED"/>
    <w:rsid w:val="007766F2"/>
    <w:rsid w:val="00776C47"/>
    <w:rsid w:val="00781F08"/>
    <w:rsid w:val="00783512"/>
    <w:rsid w:val="0078386B"/>
    <w:rsid w:val="007A2EB7"/>
    <w:rsid w:val="007A396A"/>
    <w:rsid w:val="007A4507"/>
    <w:rsid w:val="007B24D5"/>
    <w:rsid w:val="007C02F4"/>
    <w:rsid w:val="007C303F"/>
    <w:rsid w:val="007C41E1"/>
    <w:rsid w:val="007D01C1"/>
    <w:rsid w:val="007D1308"/>
    <w:rsid w:val="007D1531"/>
    <w:rsid w:val="007D6E80"/>
    <w:rsid w:val="007D7DB3"/>
    <w:rsid w:val="007E01C6"/>
    <w:rsid w:val="007E0608"/>
    <w:rsid w:val="007F005E"/>
    <w:rsid w:val="008025D9"/>
    <w:rsid w:val="0080359A"/>
    <w:rsid w:val="008049A3"/>
    <w:rsid w:val="00806CFA"/>
    <w:rsid w:val="00812286"/>
    <w:rsid w:val="00817AAE"/>
    <w:rsid w:val="00825830"/>
    <w:rsid w:val="0082757F"/>
    <w:rsid w:val="00831C97"/>
    <w:rsid w:val="00832F44"/>
    <w:rsid w:val="00833136"/>
    <w:rsid w:val="00833255"/>
    <w:rsid w:val="0083343E"/>
    <w:rsid w:val="00835DAD"/>
    <w:rsid w:val="00835DF5"/>
    <w:rsid w:val="00840612"/>
    <w:rsid w:val="00842A67"/>
    <w:rsid w:val="00844C77"/>
    <w:rsid w:val="0084663A"/>
    <w:rsid w:val="00852E8D"/>
    <w:rsid w:val="00853699"/>
    <w:rsid w:val="00853718"/>
    <w:rsid w:val="008563FE"/>
    <w:rsid w:val="00857530"/>
    <w:rsid w:val="008611AA"/>
    <w:rsid w:val="0086391C"/>
    <w:rsid w:val="008719A2"/>
    <w:rsid w:val="00872ABD"/>
    <w:rsid w:val="00877B25"/>
    <w:rsid w:val="00884BC2"/>
    <w:rsid w:val="0088633A"/>
    <w:rsid w:val="008927BA"/>
    <w:rsid w:val="00895400"/>
    <w:rsid w:val="008A0C05"/>
    <w:rsid w:val="008A1FB2"/>
    <w:rsid w:val="008A275F"/>
    <w:rsid w:val="008A5101"/>
    <w:rsid w:val="008A5AC3"/>
    <w:rsid w:val="008A71EE"/>
    <w:rsid w:val="008B1027"/>
    <w:rsid w:val="008B5550"/>
    <w:rsid w:val="008B568A"/>
    <w:rsid w:val="008C0930"/>
    <w:rsid w:val="008C7F40"/>
    <w:rsid w:val="008D1BE1"/>
    <w:rsid w:val="008D2D39"/>
    <w:rsid w:val="008D3E2B"/>
    <w:rsid w:val="008E1A5D"/>
    <w:rsid w:val="008E21F3"/>
    <w:rsid w:val="008E4595"/>
    <w:rsid w:val="008E799F"/>
    <w:rsid w:val="008F08C8"/>
    <w:rsid w:val="008F4EDF"/>
    <w:rsid w:val="008F528A"/>
    <w:rsid w:val="008F5F6E"/>
    <w:rsid w:val="00901B4A"/>
    <w:rsid w:val="00903F79"/>
    <w:rsid w:val="00905D6B"/>
    <w:rsid w:val="0090644B"/>
    <w:rsid w:val="00907D70"/>
    <w:rsid w:val="00911E18"/>
    <w:rsid w:val="00912FD9"/>
    <w:rsid w:val="00917AB4"/>
    <w:rsid w:val="00923A31"/>
    <w:rsid w:val="00926401"/>
    <w:rsid w:val="0092797B"/>
    <w:rsid w:val="00930222"/>
    <w:rsid w:val="009357FA"/>
    <w:rsid w:val="00941EEE"/>
    <w:rsid w:val="009445C7"/>
    <w:rsid w:val="009465E3"/>
    <w:rsid w:val="00950747"/>
    <w:rsid w:val="009542D2"/>
    <w:rsid w:val="00955DF4"/>
    <w:rsid w:val="009562A2"/>
    <w:rsid w:val="00957F70"/>
    <w:rsid w:val="0096155E"/>
    <w:rsid w:val="00964FF1"/>
    <w:rsid w:val="009652A1"/>
    <w:rsid w:val="00970732"/>
    <w:rsid w:val="009709CB"/>
    <w:rsid w:val="00971C8F"/>
    <w:rsid w:val="00972382"/>
    <w:rsid w:val="009727BF"/>
    <w:rsid w:val="00972AB5"/>
    <w:rsid w:val="00973319"/>
    <w:rsid w:val="00976517"/>
    <w:rsid w:val="0098422B"/>
    <w:rsid w:val="009912DB"/>
    <w:rsid w:val="009921B6"/>
    <w:rsid w:val="00996373"/>
    <w:rsid w:val="00997B21"/>
    <w:rsid w:val="009A5944"/>
    <w:rsid w:val="009A6D3D"/>
    <w:rsid w:val="009B041F"/>
    <w:rsid w:val="009B3A8B"/>
    <w:rsid w:val="009C18EC"/>
    <w:rsid w:val="009C2962"/>
    <w:rsid w:val="009C510B"/>
    <w:rsid w:val="009C79DB"/>
    <w:rsid w:val="009D3062"/>
    <w:rsid w:val="009E6765"/>
    <w:rsid w:val="009E7C27"/>
    <w:rsid w:val="009F417A"/>
    <w:rsid w:val="009F4D24"/>
    <w:rsid w:val="009F6EB2"/>
    <w:rsid w:val="00A018CC"/>
    <w:rsid w:val="00A02438"/>
    <w:rsid w:val="00A05ADF"/>
    <w:rsid w:val="00A078D3"/>
    <w:rsid w:val="00A12363"/>
    <w:rsid w:val="00A13576"/>
    <w:rsid w:val="00A1640A"/>
    <w:rsid w:val="00A21D25"/>
    <w:rsid w:val="00A23ED4"/>
    <w:rsid w:val="00A23F26"/>
    <w:rsid w:val="00A2411C"/>
    <w:rsid w:val="00A276FF"/>
    <w:rsid w:val="00A3054C"/>
    <w:rsid w:val="00A30EFC"/>
    <w:rsid w:val="00A31BB2"/>
    <w:rsid w:val="00A32CED"/>
    <w:rsid w:val="00A34D71"/>
    <w:rsid w:val="00A400A2"/>
    <w:rsid w:val="00A40293"/>
    <w:rsid w:val="00A403ED"/>
    <w:rsid w:val="00A446CE"/>
    <w:rsid w:val="00A51C2B"/>
    <w:rsid w:val="00A52357"/>
    <w:rsid w:val="00A53D49"/>
    <w:rsid w:val="00A57960"/>
    <w:rsid w:val="00A6696B"/>
    <w:rsid w:val="00A66D89"/>
    <w:rsid w:val="00A7326A"/>
    <w:rsid w:val="00A7346E"/>
    <w:rsid w:val="00A76889"/>
    <w:rsid w:val="00A7688B"/>
    <w:rsid w:val="00A801F2"/>
    <w:rsid w:val="00A80B7F"/>
    <w:rsid w:val="00A832EF"/>
    <w:rsid w:val="00A8755C"/>
    <w:rsid w:val="00A90441"/>
    <w:rsid w:val="00AA055E"/>
    <w:rsid w:val="00AA1413"/>
    <w:rsid w:val="00AA2563"/>
    <w:rsid w:val="00AA276A"/>
    <w:rsid w:val="00AA34B7"/>
    <w:rsid w:val="00AA5D8F"/>
    <w:rsid w:val="00AA7C77"/>
    <w:rsid w:val="00AB3D79"/>
    <w:rsid w:val="00AB4C36"/>
    <w:rsid w:val="00AB680B"/>
    <w:rsid w:val="00AC1503"/>
    <w:rsid w:val="00AD28F5"/>
    <w:rsid w:val="00AD3224"/>
    <w:rsid w:val="00AD4499"/>
    <w:rsid w:val="00AD7D99"/>
    <w:rsid w:val="00AE0ED1"/>
    <w:rsid w:val="00AE2B42"/>
    <w:rsid w:val="00AE37D0"/>
    <w:rsid w:val="00AE3F65"/>
    <w:rsid w:val="00AE6043"/>
    <w:rsid w:val="00AE76D2"/>
    <w:rsid w:val="00AF0CB0"/>
    <w:rsid w:val="00B03F86"/>
    <w:rsid w:val="00B04A6D"/>
    <w:rsid w:val="00B05A1B"/>
    <w:rsid w:val="00B20A9E"/>
    <w:rsid w:val="00B26487"/>
    <w:rsid w:val="00B2753E"/>
    <w:rsid w:val="00B31934"/>
    <w:rsid w:val="00B32511"/>
    <w:rsid w:val="00B420A2"/>
    <w:rsid w:val="00B42427"/>
    <w:rsid w:val="00B42DA5"/>
    <w:rsid w:val="00B433DE"/>
    <w:rsid w:val="00B4468F"/>
    <w:rsid w:val="00B503A7"/>
    <w:rsid w:val="00B53D62"/>
    <w:rsid w:val="00B543FA"/>
    <w:rsid w:val="00B5489D"/>
    <w:rsid w:val="00B558D8"/>
    <w:rsid w:val="00B61528"/>
    <w:rsid w:val="00B6672D"/>
    <w:rsid w:val="00B71F76"/>
    <w:rsid w:val="00B72439"/>
    <w:rsid w:val="00B906D1"/>
    <w:rsid w:val="00B942F4"/>
    <w:rsid w:val="00BA2806"/>
    <w:rsid w:val="00BA7B16"/>
    <w:rsid w:val="00BC3CC6"/>
    <w:rsid w:val="00BC63BB"/>
    <w:rsid w:val="00BD77E2"/>
    <w:rsid w:val="00BE26CD"/>
    <w:rsid w:val="00BE41D4"/>
    <w:rsid w:val="00BE59E2"/>
    <w:rsid w:val="00BE7AAD"/>
    <w:rsid w:val="00BF0196"/>
    <w:rsid w:val="00BF1528"/>
    <w:rsid w:val="00BF1582"/>
    <w:rsid w:val="00BF1933"/>
    <w:rsid w:val="00BF2227"/>
    <w:rsid w:val="00BF3455"/>
    <w:rsid w:val="00BF3D5C"/>
    <w:rsid w:val="00BF3EA4"/>
    <w:rsid w:val="00BF5A68"/>
    <w:rsid w:val="00C01D65"/>
    <w:rsid w:val="00C03B2D"/>
    <w:rsid w:val="00C06CAD"/>
    <w:rsid w:val="00C07032"/>
    <w:rsid w:val="00C23B8B"/>
    <w:rsid w:val="00C30DCD"/>
    <w:rsid w:val="00C32458"/>
    <w:rsid w:val="00C3475C"/>
    <w:rsid w:val="00C354D0"/>
    <w:rsid w:val="00C37059"/>
    <w:rsid w:val="00C37339"/>
    <w:rsid w:val="00C37E8E"/>
    <w:rsid w:val="00C41427"/>
    <w:rsid w:val="00C42AC7"/>
    <w:rsid w:val="00C4366C"/>
    <w:rsid w:val="00C476DD"/>
    <w:rsid w:val="00C516D4"/>
    <w:rsid w:val="00C52850"/>
    <w:rsid w:val="00C55CF6"/>
    <w:rsid w:val="00C55FD9"/>
    <w:rsid w:val="00C57955"/>
    <w:rsid w:val="00C63FB5"/>
    <w:rsid w:val="00C64C42"/>
    <w:rsid w:val="00C72106"/>
    <w:rsid w:val="00C73E18"/>
    <w:rsid w:val="00C768BA"/>
    <w:rsid w:val="00C77B72"/>
    <w:rsid w:val="00C80054"/>
    <w:rsid w:val="00C80C57"/>
    <w:rsid w:val="00C82215"/>
    <w:rsid w:val="00C83E49"/>
    <w:rsid w:val="00C85E2C"/>
    <w:rsid w:val="00C87764"/>
    <w:rsid w:val="00C927C6"/>
    <w:rsid w:val="00C94EE4"/>
    <w:rsid w:val="00C96A16"/>
    <w:rsid w:val="00CA0FD6"/>
    <w:rsid w:val="00CA15D7"/>
    <w:rsid w:val="00CA4569"/>
    <w:rsid w:val="00CA58A3"/>
    <w:rsid w:val="00CA6273"/>
    <w:rsid w:val="00CB3454"/>
    <w:rsid w:val="00CB7049"/>
    <w:rsid w:val="00CB74F4"/>
    <w:rsid w:val="00CB74F6"/>
    <w:rsid w:val="00CB7E0E"/>
    <w:rsid w:val="00CC0755"/>
    <w:rsid w:val="00CC2457"/>
    <w:rsid w:val="00CC27F3"/>
    <w:rsid w:val="00CC33B1"/>
    <w:rsid w:val="00CC5CC4"/>
    <w:rsid w:val="00CC7467"/>
    <w:rsid w:val="00CD11EF"/>
    <w:rsid w:val="00CD30F3"/>
    <w:rsid w:val="00CD398A"/>
    <w:rsid w:val="00CD3CD2"/>
    <w:rsid w:val="00CE2FBB"/>
    <w:rsid w:val="00CE3F59"/>
    <w:rsid w:val="00CE5FD5"/>
    <w:rsid w:val="00CE79F1"/>
    <w:rsid w:val="00CF1F63"/>
    <w:rsid w:val="00CF6246"/>
    <w:rsid w:val="00CF66F3"/>
    <w:rsid w:val="00D01CA7"/>
    <w:rsid w:val="00D03154"/>
    <w:rsid w:val="00D039E2"/>
    <w:rsid w:val="00D040E7"/>
    <w:rsid w:val="00D12AD8"/>
    <w:rsid w:val="00D17492"/>
    <w:rsid w:val="00D17A43"/>
    <w:rsid w:val="00D20705"/>
    <w:rsid w:val="00D223AE"/>
    <w:rsid w:val="00D2451F"/>
    <w:rsid w:val="00D24F97"/>
    <w:rsid w:val="00D27EB2"/>
    <w:rsid w:val="00D27F54"/>
    <w:rsid w:val="00D31C0F"/>
    <w:rsid w:val="00D322CA"/>
    <w:rsid w:val="00D344AA"/>
    <w:rsid w:val="00D35D70"/>
    <w:rsid w:val="00D42E4C"/>
    <w:rsid w:val="00D433C1"/>
    <w:rsid w:val="00D44A3A"/>
    <w:rsid w:val="00D45AC8"/>
    <w:rsid w:val="00D472E2"/>
    <w:rsid w:val="00D477E8"/>
    <w:rsid w:val="00D51939"/>
    <w:rsid w:val="00D5457F"/>
    <w:rsid w:val="00D54BD0"/>
    <w:rsid w:val="00D60621"/>
    <w:rsid w:val="00D66801"/>
    <w:rsid w:val="00D75844"/>
    <w:rsid w:val="00D75B3D"/>
    <w:rsid w:val="00D76F25"/>
    <w:rsid w:val="00D774E5"/>
    <w:rsid w:val="00D8078A"/>
    <w:rsid w:val="00D905ED"/>
    <w:rsid w:val="00D91305"/>
    <w:rsid w:val="00D947C7"/>
    <w:rsid w:val="00DA4D78"/>
    <w:rsid w:val="00DA73E0"/>
    <w:rsid w:val="00DA7989"/>
    <w:rsid w:val="00DB0F18"/>
    <w:rsid w:val="00DB4044"/>
    <w:rsid w:val="00DB6AF8"/>
    <w:rsid w:val="00DC4919"/>
    <w:rsid w:val="00DC7324"/>
    <w:rsid w:val="00DD13F1"/>
    <w:rsid w:val="00DE07E2"/>
    <w:rsid w:val="00DE76A8"/>
    <w:rsid w:val="00DF07DA"/>
    <w:rsid w:val="00DF103B"/>
    <w:rsid w:val="00DF7874"/>
    <w:rsid w:val="00E02014"/>
    <w:rsid w:val="00E020D2"/>
    <w:rsid w:val="00E0550B"/>
    <w:rsid w:val="00E05545"/>
    <w:rsid w:val="00E05548"/>
    <w:rsid w:val="00E05C91"/>
    <w:rsid w:val="00E05D90"/>
    <w:rsid w:val="00E15684"/>
    <w:rsid w:val="00E26506"/>
    <w:rsid w:val="00E320F9"/>
    <w:rsid w:val="00E505A9"/>
    <w:rsid w:val="00E511D7"/>
    <w:rsid w:val="00E5376F"/>
    <w:rsid w:val="00E57BE7"/>
    <w:rsid w:val="00E57D3D"/>
    <w:rsid w:val="00E604F6"/>
    <w:rsid w:val="00E626BB"/>
    <w:rsid w:val="00E62EE2"/>
    <w:rsid w:val="00E63A4F"/>
    <w:rsid w:val="00E64E4E"/>
    <w:rsid w:val="00E65393"/>
    <w:rsid w:val="00E66927"/>
    <w:rsid w:val="00E67C4C"/>
    <w:rsid w:val="00E705F6"/>
    <w:rsid w:val="00E75A2D"/>
    <w:rsid w:val="00E77E20"/>
    <w:rsid w:val="00E87245"/>
    <w:rsid w:val="00E92929"/>
    <w:rsid w:val="00E938DC"/>
    <w:rsid w:val="00E93B5C"/>
    <w:rsid w:val="00E94677"/>
    <w:rsid w:val="00EA0191"/>
    <w:rsid w:val="00EA0EA6"/>
    <w:rsid w:val="00EA2682"/>
    <w:rsid w:val="00EA47A5"/>
    <w:rsid w:val="00EA5BFE"/>
    <w:rsid w:val="00EA716D"/>
    <w:rsid w:val="00EB477C"/>
    <w:rsid w:val="00EC2E5D"/>
    <w:rsid w:val="00EC3774"/>
    <w:rsid w:val="00EC4317"/>
    <w:rsid w:val="00EC6F9E"/>
    <w:rsid w:val="00EC7AA6"/>
    <w:rsid w:val="00ED011C"/>
    <w:rsid w:val="00ED2B8F"/>
    <w:rsid w:val="00ED6B69"/>
    <w:rsid w:val="00ED7016"/>
    <w:rsid w:val="00EE0551"/>
    <w:rsid w:val="00EE54EA"/>
    <w:rsid w:val="00EE73F8"/>
    <w:rsid w:val="00EF1490"/>
    <w:rsid w:val="00EF2632"/>
    <w:rsid w:val="00EF4353"/>
    <w:rsid w:val="00F0188D"/>
    <w:rsid w:val="00F03539"/>
    <w:rsid w:val="00F077CD"/>
    <w:rsid w:val="00F13F06"/>
    <w:rsid w:val="00F21ED5"/>
    <w:rsid w:val="00F26A1E"/>
    <w:rsid w:val="00F3320B"/>
    <w:rsid w:val="00F335DA"/>
    <w:rsid w:val="00F40461"/>
    <w:rsid w:val="00F40FBD"/>
    <w:rsid w:val="00F445D3"/>
    <w:rsid w:val="00F5348A"/>
    <w:rsid w:val="00F60F0A"/>
    <w:rsid w:val="00F62B8C"/>
    <w:rsid w:val="00F71D2F"/>
    <w:rsid w:val="00F73143"/>
    <w:rsid w:val="00F743E3"/>
    <w:rsid w:val="00F761EE"/>
    <w:rsid w:val="00F77206"/>
    <w:rsid w:val="00F772B4"/>
    <w:rsid w:val="00F7795C"/>
    <w:rsid w:val="00F81343"/>
    <w:rsid w:val="00F83056"/>
    <w:rsid w:val="00F870EA"/>
    <w:rsid w:val="00F930DE"/>
    <w:rsid w:val="00F933E4"/>
    <w:rsid w:val="00F93909"/>
    <w:rsid w:val="00F93FFC"/>
    <w:rsid w:val="00F94BA5"/>
    <w:rsid w:val="00F94D29"/>
    <w:rsid w:val="00F955E6"/>
    <w:rsid w:val="00F96B56"/>
    <w:rsid w:val="00FA11DF"/>
    <w:rsid w:val="00FA2DCF"/>
    <w:rsid w:val="00FA5670"/>
    <w:rsid w:val="00FA5EFF"/>
    <w:rsid w:val="00FB3B04"/>
    <w:rsid w:val="00FB494E"/>
    <w:rsid w:val="00FC1D91"/>
    <w:rsid w:val="00FC26B7"/>
    <w:rsid w:val="00FC29D1"/>
    <w:rsid w:val="00FC3ED0"/>
    <w:rsid w:val="00FC50D3"/>
    <w:rsid w:val="00FD1287"/>
    <w:rsid w:val="00FD259E"/>
    <w:rsid w:val="00FD6AC1"/>
    <w:rsid w:val="00FE35B0"/>
    <w:rsid w:val="00FE39D7"/>
    <w:rsid w:val="00FE7D42"/>
    <w:rsid w:val="00FF06F8"/>
    <w:rsid w:val="00FF5351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4CD76"/>
  <w15:docId w15:val="{CDD72D8D-5DA8-4892-BB6F-E3BEDEED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4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441"/>
  </w:style>
  <w:style w:type="paragraph" w:styleId="Footer">
    <w:name w:val="footer"/>
    <w:basedOn w:val="Normal"/>
    <w:link w:val="FooterChar"/>
    <w:uiPriority w:val="99"/>
    <w:unhideWhenUsed/>
    <w:rsid w:val="00A904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441"/>
  </w:style>
  <w:style w:type="paragraph" w:styleId="BalloonText">
    <w:name w:val="Balloon Text"/>
    <w:basedOn w:val="Normal"/>
    <w:link w:val="BalloonTextChar"/>
    <w:uiPriority w:val="99"/>
    <w:semiHidden/>
    <w:unhideWhenUsed/>
    <w:rsid w:val="00A90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5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E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F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6155E"/>
  </w:style>
  <w:style w:type="character" w:styleId="CommentReference">
    <w:name w:val="annotation reference"/>
    <w:basedOn w:val="DefaultParagraphFont"/>
    <w:uiPriority w:val="99"/>
    <w:semiHidden/>
    <w:unhideWhenUsed/>
    <w:rsid w:val="00022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2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2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3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GB" b="1">
                <a:solidFill>
                  <a:schemeClr val="tx1"/>
                </a:solidFill>
              </a:rPr>
              <a:t>Chart</a:t>
            </a:r>
            <a:r>
              <a:rPr lang="en-GB" b="1" baseline="0">
                <a:solidFill>
                  <a:schemeClr val="tx1"/>
                </a:solidFill>
              </a:rPr>
              <a:t> 1 Number in Family Using the Holiday Home in the years 2022/23/24 &amp; 25</a:t>
            </a:r>
            <a:endParaRPr lang="en-GB" b="1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Sheet1!$O$10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Sheet1!$N$11:$N$19</c:f>
              <c:strCache>
                <c:ptCount val="9"/>
                <c:pt idx="0">
                  <c:v>Single</c:v>
                </c:pt>
                <c:pt idx="1">
                  <c:v>2 in Family</c:v>
                </c:pt>
                <c:pt idx="2">
                  <c:v>3 in Family</c:v>
                </c:pt>
                <c:pt idx="3">
                  <c:v>4 in Family</c:v>
                </c:pt>
                <c:pt idx="4">
                  <c:v>5 in Family</c:v>
                </c:pt>
                <c:pt idx="5">
                  <c:v>6 in Family</c:v>
                </c:pt>
                <c:pt idx="6">
                  <c:v>7 in Family</c:v>
                </c:pt>
                <c:pt idx="7">
                  <c:v>8 in Family</c:v>
                </c:pt>
                <c:pt idx="8">
                  <c:v>Total</c:v>
                </c:pt>
              </c:strCache>
            </c:strRef>
          </c:cat>
          <c:val>
            <c:numRef>
              <c:f>Sheet1!$O$11:$O$19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9</c:v>
                </c:pt>
                <c:pt idx="4">
                  <c:v>5</c:v>
                </c:pt>
                <c:pt idx="5">
                  <c:v>3</c:v>
                </c:pt>
                <c:pt idx="6">
                  <c:v>2</c:v>
                </c:pt>
                <c:pt idx="8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F8-484B-A9DE-6D1F87FBFC78}"/>
            </c:ext>
          </c:extLst>
        </c:ser>
        <c:ser>
          <c:idx val="1"/>
          <c:order val="1"/>
          <c:tx>
            <c:strRef>
              <c:f>Sheet1!$P$10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Sheet1!$N$11:$N$19</c:f>
              <c:strCache>
                <c:ptCount val="9"/>
                <c:pt idx="0">
                  <c:v>Single</c:v>
                </c:pt>
                <c:pt idx="1">
                  <c:v>2 in Family</c:v>
                </c:pt>
                <c:pt idx="2">
                  <c:v>3 in Family</c:v>
                </c:pt>
                <c:pt idx="3">
                  <c:v>4 in Family</c:v>
                </c:pt>
                <c:pt idx="4">
                  <c:v>5 in Family</c:v>
                </c:pt>
                <c:pt idx="5">
                  <c:v>6 in Family</c:v>
                </c:pt>
                <c:pt idx="6">
                  <c:v>7 in Family</c:v>
                </c:pt>
                <c:pt idx="7">
                  <c:v>8 in Family</c:v>
                </c:pt>
                <c:pt idx="8">
                  <c:v>Total</c:v>
                </c:pt>
              </c:strCache>
            </c:strRef>
          </c:cat>
          <c:val>
            <c:numRef>
              <c:f>Sheet1!$P$11:$P$19</c:f>
              <c:numCache>
                <c:formatCode>General</c:formatCode>
                <c:ptCount val="9"/>
                <c:pt idx="0">
                  <c:v>1</c:v>
                </c:pt>
                <c:pt idx="1">
                  <c:v>7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F8-484B-A9DE-6D1F87FBFC78}"/>
            </c:ext>
          </c:extLst>
        </c:ser>
        <c:ser>
          <c:idx val="2"/>
          <c:order val="2"/>
          <c:tx>
            <c:strRef>
              <c:f>Sheet1!$Q$10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Sheet1!$N$11:$N$19</c:f>
              <c:strCache>
                <c:ptCount val="9"/>
                <c:pt idx="0">
                  <c:v>Single</c:v>
                </c:pt>
                <c:pt idx="1">
                  <c:v>2 in Family</c:v>
                </c:pt>
                <c:pt idx="2">
                  <c:v>3 in Family</c:v>
                </c:pt>
                <c:pt idx="3">
                  <c:v>4 in Family</c:v>
                </c:pt>
                <c:pt idx="4">
                  <c:v>5 in Family</c:v>
                </c:pt>
                <c:pt idx="5">
                  <c:v>6 in Family</c:v>
                </c:pt>
                <c:pt idx="6">
                  <c:v>7 in Family</c:v>
                </c:pt>
                <c:pt idx="7">
                  <c:v>8 in Family</c:v>
                </c:pt>
                <c:pt idx="8">
                  <c:v>Total</c:v>
                </c:pt>
              </c:strCache>
            </c:strRef>
          </c:cat>
          <c:val>
            <c:numRef>
              <c:f>Sheet1!$Q$11:$Q$19</c:f>
              <c:numCache>
                <c:formatCode>General</c:formatCode>
                <c:ptCount val="9"/>
                <c:pt idx="0">
                  <c:v>1</c:v>
                </c:pt>
                <c:pt idx="1">
                  <c:v>4</c:v>
                </c:pt>
                <c:pt idx="2">
                  <c:v>12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8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F8-484B-A9DE-6D1F87FBFC78}"/>
            </c:ext>
          </c:extLst>
        </c:ser>
        <c:ser>
          <c:idx val="3"/>
          <c:order val="3"/>
          <c:tx>
            <c:strRef>
              <c:f>Sheet1!$R$10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Sheet1!$N$11:$N$19</c:f>
              <c:strCache>
                <c:ptCount val="9"/>
                <c:pt idx="0">
                  <c:v>Single</c:v>
                </c:pt>
                <c:pt idx="1">
                  <c:v>2 in Family</c:v>
                </c:pt>
                <c:pt idx="2">
                  <c:v>3 in Family</c:v>
                </c:pt>
                <c:pt idx="3">
                  <c:v>4 in Family</c:v>
                </c:pt>
                <c:pt idx="4">
                  <c:v>5 in Family</c:v>
                </c:pt>
                <c:pt idx="5">
                  <c:v>6 in Family</c:v>
                </c:pt>
                <c:pt idx="6">
                  <c:v>7 in Family</c:v>
                </c:pt>
                <c:pt idx="7">
                  <c:v>8 in Family</c:v>
                </c:pt>
                <c:pt idx="8">
                  <c:v>Total</c:v>
                </c:pt>
              </c:strCache>
            </c:strRef>
          </c:cat>
          <c:val>
            <c:numRef>
              <c:f>Sheet1!$R$11:$R$19</c:f>
              <c:numCache>
                <c:formatCode>General</c:formatCode>
                <c:ptCount val="9"/>
                <c:pt idx="0">
                  <c:v>1</c:v>
                </c:pt>
                <c:pt idx="1">
                  <c:v>4</c:v>
                </c:pt>
                <c:pt idx="2">
                  <c:v>4</c:v>
                </c:pt>
                <c:pt idx="3">
                  <c:v>7</c:v>
                </c:pt>
                <c:pt idx="4">
                  <c:v>2</c:v>
                </c:pt>
                <c:pt idx="5">
                  <c:v>7</c:v>
                </c:pt>
                <c:pt idx="6">
                  <c:v>1</c:v>
                </c:pt>
                <c:pt idx="7">
                  <c:v>2</c:v>
                </c:pt>
                <c:pt idx="8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F8-484B-A9DE-6D1F87FBFC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75160111"/>
        <c:axId val="1075153391"/>
      </c:barChart>
      <c:catAx>
        <c:axId val="1075160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75153391"/>
        <c:crosses val="autoZero"/>
        <c:auto val="1"/>
        <c:lblAlgn val="ctr"/>
        <c:lblOffset val="100"/>
        <c:noMultiLvlLbl val="0"/>
      </c:catAx>
      <c:valAx>
        <c:axId val="10751533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75160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="1"/>
              <a:t>Chart</a:t>
            </a:r>
            <a:r>
              <a:rPr lang="en-GB" b="1" baseline="0"/>
              <a:t> 2 Holiday Home Use 2022;23;24&amp;25</a:t>
            </a:r>
          </a:p>
          <a:p>
            <a:pPr>
              <a:defRPr/>
            </a:pPr>
            <a:r>
              <a:rPr lang="en-GB" b="1" baseline="0"/>
              <a:t>Size of family by Number of Children</a:t>
            </a:r>
            <a:endParaRPr lang="en-GB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7136482939632549E-2"/>
          <c:y val="0.30076443569553807"/>
          <c:w val="0.90286351706036749"/>
          <c:h val="0.49619539706266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Sheet1!$O$2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Sheet1!$N$3:$N$8</c:f>
              <c:strCache>
                <c:ptCount val="6"/>
                <c:pt idx="0">
                  <c:v>Adults Only</c:v>
                </c:pt>
                <c:pt idx="1">
                  <c:v>1A + Children</c:v>
                </c:pt>
                <c:pt idx="2">
                  <c:v>2A + Children</c:v>
                </c:pt>
                <c:pt idx="3">
                  <c:v>3A + Children</c:v>
                </c:pt>
                <c:pt idx="4">
                  <c:v>4A + Children</c:v>
                </c:pt>
                <c:pt idx="5">
                  <c:v>Total</c:v>
                </c:pt>
              </c:strCache>
            </c:strRef>
          </c:cat>
          <c:val>
            <c:numRef>
              <c:f>Sheet1!$O$3:$O$8</c:f>
              <c:numCache>
                <c:formatCode>0</c:formatCode>
                <c:ptCount val="6"/>
                <c:pt idx="0">
                  <c:v>4</c:v>
                </c:pt>
                <c:pt idx="1">
                  <c:v>6</c:v>
                </c:pt>
                <c:pt idx="2">
                  <c:v>12</c:v>
                </c:pt>
                <c:pt idx="3">
                  <c:v>3</c:v>
                </c:pt>
                <c:pt idx="5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5B-4238-8C2B-7403CAD9D294}"/>
            </c:ext>
          </c:extLst>
        </c:ser>
        <c:ser>
          <c:idx val="1"/>
          <c:order val="1"/>
          <c:tx>
            <c:strRef>
              <c:f>Sheet1!$P$2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Sheet1!$N$3:$N$8</c:f>
              <c:strCache>
                <c:ptCount val="6"/>
                <c:pt idx="0">
                  <c:v>Adults Only</c:v>
                </c:pt>
                <c:pt idx="1">
                  <c:v>1A + Children</c:v>
                </c:pt>
                <c:pt idx="2">
                  <c:v>2A + Children</c:v>
                </c:pt>
                <c:pt idx="3">
                  <c:v>3A + Children</c:v>
                </c:pt>
                <c:pt idx="4">
                  <c:v>4A + Children</c:v>
                </c:pt>
                <c:pt idx="5">
                  <c:v>Total</c:v>
                </c:pt>
              </c:strCache>
            </c:strRef>
          </c:cat>
          <c:val>
            <c:numRef>
              <c:f>Sheet1!$P$3:$P$8</c:f>
              <c:numCache>
                <c:formatCode>0</c:formatCode>
                <c:ptCount val="6"/>
                <c:pt idx="0">
                  <c:v>6</c:v>
                </c:pt>
                <c:pt idx="1">
                  <c:v>9</c:v>
                </c:pt>
                <c:pt idx="2">
                  <c:v>10</c:v>
                </c:pt>
                <c:pt idx="3">
                  <c:v>2</c:v>
                </c:pt>
                <c:pt idx="5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5B-4238-8C2B-7403CAD9D294}"/>
            </c:ext>
          </c:extLst>
        </c:ser>
        <c:ser>
          <c:idx val="2"/>
          <c:order val="2"/>
          <c:tx>
            <c:strRef>
              <c:f>Sheet1!$Q$2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Sheet1!$N$3:$N$8</c:f>
              <c:strCache>
                <c:ptCount val="6"/>
                <c:pt idx="0">
                  <c:v>Adults Only</c:v>
                </c:pt>
                <c:pt idx="1">
                  <c:v>1A + Children</c:v>
                </c:pt>
                <c:pt idx="2">
                  <c:v>2A + Children</c:v>
                </c:pt>
                <c:pt idx="3">
                  <c:v>3A + Children</c:v>
                </c:pt>
                <c:pt idx="4">
                  <c:v>4A + Children</c:v>
                </c:pt>
                <c:pt idx="5">
                  <c:v>Total</c:v>
                </c:pt>
              </c:strCache>
            </c:strRef>
          </c:cat>
          <c:val>
            <c:numRef>
              <c:f>Sheet1!$Q$3:$Q$8</c:f>
              <c:numCache>
                <c:formatCode>0</c:formatCode>
                <c:ptCount val="6"/>
                <c:pt idx="0">
                  <c:v>6</c:v>
                </c:pt>
                <c:pt idx="1">
                  <c:v>5</c:v>
                </c:pt>
                <c:pt idx="2">
                  <c:v>15</c:v>
                </c:pt>
                <c:pt idx="3">
                  <c:v>2</c:v>
                </c:pt>
                <c:pt idx="4">
                  <c:v>1</c:v>
                </c:pt>
                <c:pt idx="5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5B-4238-8C2B-7403CAD9D294}"/>
            </c:ext>
          </c:extLst>
        </c:ser>
        <c:ser>
          <c:idx val="3"/>
          <c:order val="3"/>
          <c:tx>
            <c:strRef>
              <c:f>Sheet1!$R$2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Sheet1!$N$3:$N$8</c:f>
              <c:strCache>
                <c:ptCount val="6"/>
                <c:pt idx="0">
                  <c:v>Adults Only</c:v>
                </c:pt>
                <c:pt idx="1">
                  <c:v>1A + Children</c:v>
                </c:pt>
                <c:pt idx="2">
                  <c:v>2A + Children</c:v>
                </c:pt>
                <c:pt idx="3">
                  <c:v>3A + Children</c:v>
                </c:pt>
                <c:pt idx="4">
                  <c:v>4A + Children</c:v>
                </c:pt>
                <c:pt idx="5">
                  <c:v>Total</c:v>
                </c:pt>
              </c:strCache>
            </c:strRef>
          </c:cat>
          <c:val>
            <c:numRef>
              <c:f>Sheet1!$R$3:$R$8</c:f>
              <c:numCache>
                <c:formatCode>General</c:formatCode>
                <c:ptCount val="6"/>
                <c:pt idx="0">
                  <c:v>4</c:v>
                </c:pt>
                <c:pt idx="1">
                  <c:v>6</c:v>
                </c:pt>
                <c:pt idx="2">
                  <c:v>12</c:v>
                </c:pt>
                <c:pt idx="3">
                  <c:v>4</c:v>
                </c:pt>
                <c:pt idx="4">
                  <c:v>2</c:v>
                </c:pt>
                <c:pt idx="5" formatCode="0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C5B-4238-8C2B-7403CAD9D2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70629807"/>
        <c:axId val="1070630287"/>
      </c:barChart>
      <c:catAx>
        <c:axId val="1070629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70630287"/>
        <c:crosses val="autoZero"/>
        <c:auto val="1"/>
        <c:lblAlgn val="ctr"/>
        <c:lblOffset val="100"/>
        <c:noMultiLvlLbl val="0"/>
      </c:catAx>
      <c:valAx>
        <c:axId val="10706302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70629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B5BEC-8613-4799-81AA-5AA11751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2259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Bonsall</dc:creator>
  <cp:lastModifiedBy>Stephen Bonsall</cp:lastModifiedBy>
  <cp:revision>5</cp:revision>
  <cp:lastPrinted>2025-12-02T11:05:00Z</cp:lastPrinted>
  <dcterms:created xsi:type="dcterms:W3CDTF">2025-12-17T04:36:00Z</dcterms:created>
  <dcterms:modified xsi:type="dcterms:W3CDTF">2025-12-17T04:38:00Z</dcterms:modified>
</cp:coreProperties>
</file>